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b w:val="1"/>
          <w:bCs w:val="1"/>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center"/>
        <w:rPr>
          <w:b w:val="1"/>
          <w:bCs w:val="1"/>
        </w:rPr>
      </w:pPr>
      <w:r w:rsidDel="00000000" w:rsidR="00000000" w:rsidRPr="00000000">
        <w:rPr>
          <w:rtl w:val="0"/>
        </w:rPr>
      </w:r>
    </w:p>
    <w:p w:rsidR="00000000" w:rsidDel="00000000" w:rsidP="00000000" w:rsidRDefault="00000000" w:rsidRPr="00000000" w14:paraId="00000003">
      <w:pPr>
        <w:spacing w:after="200" w:lineRule="auto"/>
        <w:jc w:val="center"/>
        <w:rPr>
          <w:b w:val="1"/>
          <w:bCs w:val="1"/>
        </w:rPr>
      </w:pPr>
      <w:r w:rsidDel="00000000" w:rsidR="00000000" w:rsidRPr="00000000">
        <w:rPr>
          <w:rtl w:val="0"/>
        </w:rPr>
      </w:r>
    </w:p>
    <w:p w:rsidR="00000000" w:rsidDel="00000000" w:rsidP="00000000" w:rsidRDefault="00000000" w:rsidRPr="00000000" w14:paraId="00000004">
      <w:pPr>
        <w:spacing w:after="200" w:lineRule="auto"/>
        <w:jc w:val="center"/>
        <w:rPr>
          <w:b w:val="1"/>
          <w:bCs w:val="1"/>
        </w:rPr>
      </w:pPr>
      <w:r w:rsidDel="00000000" w:rsidR="00000000" w:rsidRPr="00000000">
        <w:rPr>
          <w:rtl w:val="0"/>
        </w:rPr>
      </w:r>
    </w:p>
    <w:p w:rsidR="00000000" w:rsidDel="00000000" w:rsidP="00000000" w:rsidRDefault="00000000" w:rsidRPr="00000000" w14:paraId="00000005">
      <w:pPr>
        <w:spacing w:after="200" w:lineRule="auto"/>
        <w:jc w:val="center"/>
        <w:rPr>
          <w:b w:val="1"/>
          <w:bCs w:val="1"/>
        </w:rPr>
      </w:pPr>
      <w:r w:rsidDel="00000000" w:rsidR="00000000" w:rsidRPr="00000000">
        <w:rPr>
          <w:rtl w:val="0"/>
        </w:rPr>
      </w:r>
    </w:p>
    <w:p w:rsidR="00000000" w:rsidDel="00000000" w:rsidP="00000000" w:rsidRDefault="00000000" w:rsidRPr="00000000" w14:paraId="00000006">
      <w:pPr>
        <w:spacing w:after="200" w:lineRule="auto"/>
        <w:jc w:val="center"/>
        <w:rPr>
          <w:b w:val="1"/>
          <w:bCs w:val="1"/>
        </w:rPr>
      </w:pPr>
      <w:r w:rsidDel="00000000" w:rsidR="00000000" w:rsidRPr="00000000">
        <w:rPr>
          <w:b w:val="1"/>
          <w:bCs w:val="1"/>
          <w:rtl w:val="0"/>
        </w:rPr>
        <w:t xml:space="preserve">Від голосу до впливу: як перевіряти обіцянки, голосування і декларації</w:t>
      </w:r>
    </w:p>
    <w:p w:rsidR="00000000" w:rsidDel="00000000" w:rsidP="00000000" w:rsidRDefault="00000000" w:rsidRPr="00000000" w14:paraId="00000007">
      <w:pPr>
        <w:rPr/>
      </w:pPr>
      <w:r w:rsidDel="00000000" w:rsidR="00000000" w:rsidRPr="00000000">
        <w:rPr>
          <w:rtl w:val="0"/>
        </w:rPr>
        <w:t xml:space="preserve">Участь громадян у політичному житті не завершується в день голосування. В умовах воєнного стану проведення чергових виборів в Україні є неможливим, однак це не скасовує потреби розуміти, як працює політична відповідальність і як громадяни можуть перевіряти дії своїх представників. Навпаки, саме зараз важливо навчитися користуватися відкритими даними: аналізувати голосування, декларації, партійну звітність, законодавчу активність і публічні обіцянки політиків. Для молодих виборців це особливо важливо, адже майбутній вибір має спиратися не лише на впізнаваність кандидата, емоційні заяви чи активність у соціальних мережах, а на конкретні факти про його діяльність, доброчесність і відповідальність. Саме тому взаємодія громадян із парламентом – це також вміння знаходити офіційні джерела, критично читати парламентську інформацію та перетворювати власний голос на усвідомлений вплив.</w:t>
      </w:r>
    </w:p>
    <w:p w:rsidR="00000000" w:rsidDel="00000000" w:rsidP="00000000" w:rsidRDefault="00000000" w:rsidRPr="00000000" w14:paraId="00000008">
      <w:pPr>
        <w:rPr/>
      </w:pPr>
      <w:r w:rsidDel="00000000" w:rsidR="00000000" w:rsidRPr="00000000">
        <w:rPr>
          <w:rtl w:val="0"/>
        </w:rPr>
        <w:t xml:space="preserve">Відкриті та прозорі дані важливі тому, що допомагають перевіряти політика за конкретними фактами. Молодий виборець не зобов’язаний орієнтуватися лише на передвиборчі ролики, гасла в соцмережах чи публічні заяви. Він може подивитися, як кандидат або партія діяли раніше: за що голосували, які законопроєкти підтримували, як змінювали політичну позицію, чи подавали декларації, чи фігурували в антикорупційних реєстрах.</w:t>
      </w:r>
    </w:p>
    <w:p w:rsidR="00000000" w:rsidDel="00000000" w:rsidP="00000000" w:rsidRDefault="00000000" w:rsidRPr="00000000" w14:paraId="00000009">
      <w:pPr>
        <w:rPr/>
      </w:pPr>
      <w:r w:rsidDel="00000000" w:rsidR="00000000" w:rsidRPr="00000000">
        <w:rPr>
          <w:rtl w:val="0"/>
        </w:rPr>
        <w:t xml:space="preserve">Для такої базової перевірки вже існує достатньо офіційних джерел. Портал відкритих даних Верховної Ради дає доступ до поіменних голосувань, тобто дозволяє побачити не загальну політичну риторику, а конкретну поведінку депутата під час ухвалення рішень. Офіційні сторінки народних депутатів показують їхню законотворчу активність, виступи, депутатські запити, належність до фракцій і можливі переходи між ними. Дані Національного агентства з питань запобігання корупції, своєю чергою, допомагають перевірити декларації, партійну звітність, результати перевірок і наявність інформації про корупційні або пов’язані з корупцією правопорушення. Разом ці інструменти дозволяють поставити значно точніші запитання: чи відповідають слова політика його діям, чи є послідовність у політичній позиції, чи немає очевидних ризиків для доброчесності тощо.</w:t>
      </w:r>
    </w:p>
    <w:p w:rsidR="00000000" w:rsidDel="00000000" w:rsidP="00000000" w:rsidRDefault="00000000" w:rsidRPr="00000000" w14:paraId="0000000A">
      <w:pPr>
        <w:rPr/>
      </w:pPr>
      <w:r w:rsidDel="00000000" w:rsidR="00000000" w:rsidRPr="00000000">
        <w:rPr>
          <w:rtl w:val="0"/>
        </w:rPr>
        <w:t xml:space="preserve">Водночас важливо розуміти, що не всі джерела мають однакову вагу. Громадські моніторингові платформи, аналітичні сайти й медіа можуть дуже допомогти: вони пояснюють складні голосування, порівнюють позиції політиків, візуалізують дані та роблять парламентську інформацію зрозумілішою для виборців. Саме в цьому полягає цінність парламентського моніторингу, адже він наближає парламент до громадян і робить політичну відповідальність більш видимою. Але такі сервіси мають бути не заміною офіційних даних, а своєрідним перекладачем та тлумачем складної інформації для виборця. Найнадійніша стратегія – спочатку офіційне першоджерело, потім незалежна інтерпретація, і лише після цього власний висновок.</w:t>
      </w:r>
    </w:p>
    <w:p w:rsidR="00000000" w:rsidDel="00000000" w:rsidP="00000000" w:rsidRDefault="00000000" w:rsidRPr="00000000" w14:paraId="0000000B">
      <w:pPr>
        <w:numPr>
          <w:ilvl w:val="0"/>
          <w:numId w:val="3"/>
        </w:numPr>
        <w:ind w:left="720" w:hanging="360"/>
        <w:rPr>
          <w:i w:val="1"/>
          <w:iCs w:val="1"/>
        </w:rPr>
      </w:pPr>
      <w:r w:rsidDel="00000000" w:rsidR="00000000" w:rsidRPr="00000000">
        <w:rPr>
          <w:i w:val="1"/>
          <w:iCs w:val="1"/>
          <w:rtl w:val="0"/>
        </w:rPr>
        <w:t xml:space="preserve">Як перевіряти обіцянки, голосування і декларації?</w:t>
      </w:r>
    </w:p>
    <w:p w:rsidR="00000000" w:rsidDel="00000000" w:rsidP="00000000" w:rsidRDefault="00000000" w:rsidRPr="00000000" w14:paraId="0000000C">
      <w:pPr>
        <w:rPr/>
      </w:pPr>
      <w:r w:rsidDel="00000000" w:rsidR="00000000" w:rsidRPr="00000000">
        <w:rPr>
          <w:rtl w:val="0"/>
        </w:rPr>
        <w:t xml:space="preserve">Починати перевірку варто не з ефірів, TikTok чи передвиборчих гасел, а з точної ідентифікації людини або партії. Якщо йдеться про народного депутата, перший крок – знайти його офіційний профіль на сайті Верховної Ради: подивитися партійну належність, фракцію, можливі переходи, роботу в комітеті, законодавчу активність, виступи, запити та голосування. Якщо перевіряється партія, важливо перейти до її фінансової звітності: квартальних звітів, інформації про внески, виборчі фонди, банківські операції та зведені дані. Якщо ж ідеться про місцевого або потенційного майбутнього кандидата, потрібно окремо стежити за даними Центральної виборчої комісії після старту відповідного виборчого процесу. До цього моменту частину перевірки доведеться робити не за формальним статусом кандидата, а за поточною посадою, попередньою політичною діяльністю або зв’язком із партією.</w:t>
      </w:r>
    </w:p>
    <w:p w:rsidR="00000000" w:rsidDel="00000000" w:rsidP="00000000" w:rsidRDefault="00000000" w:rsidRPr="00000000" w14:paraId="0000000D">
      <w:pPr>
        <w:rPr/>
      </w:pPr>
      <w:r w:rsidDel="00000000" w:rsidR="00000000" w:rsidRPr="00000000">
        <w:rPr>
          <w:rtl w:val="0"/>
        </w:rPr>
        <w:t xml:space="preserve">Щоб така перевірка не перетворилася на хаотичний пошук у Google, варто користуватися однаковою рамкою оцінювання. Перша складова – доброчесність: декларації, результати повних перевірок НАЗК, реєстр корупційних правопорушень, а за потреби судові рішення. Друга – підзвітність: чи є регулярна участь у голосуваннях, виступи, депутатські запити, пояснення позицій щодо важливих рішень. Третя – фінансова прозорість: хто фінансує партію, чи доступні дані про виборчі фонди, чи не простежуються підозрілі платіжні патерни. Четверта – спроможність: чи відповідають обіцянки реальним повноваженням посади. П’ята – послідовність: чи не суперечать голосування, дії та публічні заяви одне одному. Саме такий алгоритм допомагає голосувати не за “бренд” або впізнаване прізвище, а за реальну поведінку політичного актора.</w:t>
      </w:r>
    </w:p>
    <w:p w:rsidR="00000000" w:rsidDel="00000000" w:rsidP="00000000" w:rsidRDefault="00000000" w:rsidRPr="00000000" w14:paraId="0000000E">
      <w:pPr>
        <w:rPr/>
      </w:pPr>
      <w:r w:rsidDel="00000000" w:rsidR="00000000" w:rsidRPr="00000000">
        <w:rPr>
          <w:rtl w:val="0"/>
        </w:rPr>
        <w:t xml:space="preserve">На практиці перевірку можна починати з простих робочих запитів до відкритих джерел:</w:t>
      </w:r>
    </w:p>
    <w:p w:rsidR="00000000" w:rsidDel="00000000" w:rsidP="00000000" w:rsidRDefault="00000000" w:rsidRPr="00000000" w14:paraId="0000000F">
      <w:pPr>
        <w:numPr>
          <w:ilvl w:val="0"/>
          <w:numId w:val="2"/>
        </w:numPr>
        <w:spacing w:after="0" w:lineRule="auto"/>
        <w:ind w:left="720" w:hanging="360"/>
        <w:rPr>
          <w:u w:val="none"/>
        </w:rPr>
      </w:pPr>
      <w:r w:rsidDel="00000000" w:rsidR="00000000" w:rsidRPr="00000000">
        <w:rPr>
          <w:rtl w:val="0"/>
        </w:rPr>
        <w:t xml:space="preserve">Офіційний вебпортал парламенту України – Народні депутати України (</w:t>
      </w:r>
      <w:hyperlink r:id="rId8">
        <w:r w:rsidDel="00000000" w:rsidR="00000000" w:rsidRPr="00000000">
          <w:rPr>
            <w:color w:val="1155cc"/>
            <w:u w:val="single"/>
            <w:rtl w:val="0"/>
          </w:rPr>
          <w:t xml:space="preserve">https://people.rada.gov.ua/body/view/vr-mps</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0">
      <w:pPr>
        <w:numPr>
          <w:ilvl w:val="0"/>
          <w:numId w:val="2"/>
        </w:numPr>
        <w:spacing w:after="0" w:lineRule="auto"/>
        <w:ind w:left="720" w:hanging="360"/>
        <w:rPr>
          <w:u w:val="none"/>
        </w:rPr>
      </w:pPr>
      <w:r w:rsidDel="00000000" w:rsidR="00000000" w:rsidRPr="00000000">
        <w:rPr>
          <w:rtl w:val="0"/>
        </w:rPr>
        <w:t xml:space="preserve">Єдиний державний реєстр декларацій осіб, уповноважених на виконання функцій держави або місцевого самоврядування (</w:t>
      </w:r>
      <w:hyperlink r:id="rId9">
        <w:r w:rsidDel="00000000" w:rsidR="00000000" w:rsidRPr="00000000">
          <w:rPr>
            <w:color w:val="1155cc"/>
            <w:u w:val="single"/>
            <w:rtl w:val="0"/>
          </w:rPr>
          <w:t xml:space="preserve">https://public.nazk.gov.ua/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1">
      <w:pPr>
        <w:numPr>
          <w:ilvl w:val="0"/>
          <w:numId w:val="2"/>
        </w:numPr>
        <w:spacing w:after="0" w:lineRule="auto"/>
        <w:ind w:left="720" w:hanging="360"/>
        <w:rPr>
          <w:u w:val="none"/>
        </w:rPr>
      </w:pPr>
      <w:r w:rsidDel="00000000" w:rsidR="00000000" w:rsidRPr="00000000">
        <w:rPr>
          <w:rtl w:val="0"/>
        </w:rPr>
        <w:t xml:space="preserve">Єдиний державний реєстр звітності політичних партій (</w:t>
      </w:r>
      <w:hyperlink r:id="rId10">
        <w:r w:rsidDel="00000000" w:rsidR="00000000" w:rsidRPr="00000000">
          <w:rPr>
            <w:color w:val="1155cc"/>
            <w:u w:val="single"/>
            <w:rtl w:val="0"/>
          </w:rPr>
          <w:t xml:space="preserve">https://politdata.nazk.gov.ua/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2">
      <w:pPr>
        <w:numPr>
          <w:ilvl w:val="0"/>
          <w:numId w:val="2"/>
        </w:numPr>
        <w:spacing w:after="0" w:lineRule="auto"/>
        <w:ind w:left="720" w:hanging="360"/>
        <w:rPr>
          <w:u w:val="none"/>
        </w:rPr>
      </w:pPr>
      <w:r w:rsidDel="00000000" w:rsidR="00000000" w:rsidRPr="00000000">
        <w:rPr>
          <w:rtl w:val="0"/>
        </w:rPr>
        <w:t xml:space="preserve">Єдиний державний реєстр осіб, які вчинили корупційні або повʼязані з корупцією правопорушення (</w:t>
      </w:r>
      <w:hyperlink r:id="rId11">
        <w:r w:rsidDel="00000000" w:rsidR="00000000" w:rsidRPr="00000000">
          <w:rPr>
            <w:color w:val="1155cc"/>
            <w:u w:val="single"/>
            <w:rtl w:val="0"/>
          </w:rPr>
          <w:t xml:space="preserve">https://corruptinfo.nazk.gov.ua/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3">
      <w:pPr>
        <w:numPr>
          <w:ilvl w:val="0"/>
          <w:numId w:val="2"/>
        </w:numPr>
        <w:spacing w:after="0" w:lineRule="auto"/>
        <w:ind w:left="720" w:hanging="360"/>
        <w:rPr>
          <w:u w:val="none"/>
        </w:rPr>
      </w:pPr>
      <w:r w:rsidDel="00000000" w:rsidR="00000000" w:rsidRPr="00000000">
        <w:rPr>
          <w:rtl w:val="0"/>
        </w:rPr>
        <w:t xml:space="preserve">Єдиний державний реєстр судових рішень (</w:t>
      </w:r>
      <w:hyperlink r:id="rId12">
        <w:r w:rsidDel="00000000" w:rsidR="00000000" w:rsidRPr="00000000">
          <w:rPr>
            <w:color w:val="1155cc"/>
            <w:u w:val="single"/>
            <w:rtl w:val="0"/>
          </w:rPr>
          <w:t xml:space="preserve">https://reyestr.court.gov.ua/</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4">
      <w:pPr>
        <w:numPr>
          <w:ilvl w:val="0"/>
          <w:numId w:val="2"/>
        </w:numPr>
        <w:ind w:left="720" w:hanging="360"/>
        <w:rPr>
          <w:u w:val="none"/>
        </w:rPr>
      </w:pPr>
      <w:r w:rsidDel="00000000" w:rsidR="00000000" w:rsidRPr="00000000">
        <w:rPr>
          <w:rtl w:val="0"/>
        </w:rPr>
        <w:t xml:space="preserve">ProZorro (</w:t>
      </w:r>
      <w:hyperlink r:id="rId13">
        <w:r w:rsidDel="00000000" w:rsidR="00000000" w:rsidRPr="00000000">
          <w:rPr>
            <w:color w:val="1155cc"/>
            <w:u w:val="single"/>
            <w:rtl w:val="0"/>
          </w:rPr>
          <w:t xml:space="preserve">https://prozorro.gov.ua/uk</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Перевірка політичної обіцянки починається з простого запитання: чи можна її взагалі виміряти? Не кожна гучна заява є обіцянкою в аналітичному сенсі. Якщо політик говорить про “покращення життя”, “підтримку молоді” або “боротьбу з корупцією”, але не називає конкретної дії, строку, відповідального органу чи очікуваного результату, це радше політична позиція, ніж зобов’язання, яке можна перевірити.</w:t>
      </w:r>
    </w:p>
    <w:p w:rsidR="00000000" w:rsidDel="00000000" w:rsidP="00000000" w:rsidRDefault="00000000" w:rsidRPr="00000000" w14:paraId="00000016">
      <w:pPr>
        <w:rPr/>
      </w:pPr>
      <w:r w:rsidDel="00000000" w:rsidR="00000000" w:rsidRPr="00000000">
        <w:rPr>
          <w:rtl w:val="0"/>
        </w:rPr>
        <w:t xml:space="preserve">Тому перше правило для виборця таке: обіцянка має бути конкретною. Вона повинна відповідати принаймні на кілька запитань: що саме має бути зроблено, у який строк, ким, у межах яких повноважень і за яким показником можна буде зрозуміти, що результат досягнуто. Якщо виконання не залежить безпосередньо від людини, яка дала обіцянку, це теж потрібно враховувати. Наприклад, депутат може ініціювати законопроєкт або голосувати за нього, але не може одноосібно гарантувати його ухвалення, фінансування чи реалізацію урядом. Саме тому відповідальна перевірка обіцянок має відрізняти політичну риторику від реальних повноважень.</w:t>
      </w:r>
    </w:p>
    <w:p w:rsidR="00000000" w:rsidDel="00000000" w:rsidP="00000000" w:rsidRDefault="00000000" w:rsidRPr="00000000" w14:paraId="00000017">
      <w:pPr>
        <w:rPr/>
      </w:pPr>
      <w:r w:rsidDel="00000000" w:rsidR="00000000" w:rsidRPr="00000000">
        <w:rPr>
          <w:rtl w:val="0"/>
        </w:rPr>
        <w:t xml:space="preserve">Для первинної перевірки можна користуватися фактчекінговими й моніторинговими проєктами. Наприклад, “Слово і Діло” фіксує обіцянки, які містять конкретику і можуть бути верифіковані, а також окремо зазначає випадки, коли виконання прямо не залежить від автора обіцянки. VoxCheck працює як фактчекінговий проєкт VoxUkraine, є підписантом Кодексу принципів Міжнародної мережі перевірки фактів і декларує прозору методику перевірки.</w:t>
      </w:r>
    </w:p>
    <w:p w:rsidR="00000000" w:rsidDel="00000000" w:rsidP="00000000" w:rsidRDefault="00000000" w:rsidRPr="00000000" w14:paraId="00000018">
      <w:pPr>
        <w:rPr/>
      </w:pPr>
      <w:r w:rsidDel="00000000" w:rsidR="00000000" w:rsidRPr="00000000">
        <w:rPr>
          <w:rtl w:val="0"/>
        </w:rPr>
        <w:t xml:space="preserve">Голосування депутата варто аналізувати у двох площинах. Перша – участь у роботі парламенту. Тут важливо дивитися не лише на кількість голосувань “за”, а й на частку пропусків, статус “не голосував”, відсутність у залі, регулярність реєстрації та участь у важливих рішеннях. Друга площина – змістовна поведінка. Потрібно проаналізувати, за які теми депутат голосує послідовно, де відхиляється від позиції фракції, які законопроєкти ініціює сам, у яких комітетських напрямах працює та як пояснює свою позицію публічно. Саме по собі часте голосування “за” ще не означає ефективності або доброчесності. Так само окреме голосування “проти” не завжди є ознакою безвідповідальності. Тут важливий контекст: тема законопроєкту, його ініціатор, висновки комітету, позиція фракції, публічні аргументи депутата та попередня поведінка з подібних питань. Наприклад, якщо політик публічно підтримує прозорість, але системно не голосує за рішення, які її посилюють, це вже підстава для запитань. Якщо ж він відхиляється від фракційної позиції, варто з’ясувати, чи це послідовна принципова позиція, чи ситуативна політична поведінка. Дані щодо голосування депутата можна знайти на порталі відкритих даних Верховної Ради.</w:t>
      </w:r>
    </w:p>
    <w:p w:rsidR="00000000" w:rsidDel="00000000" w:rsidP="00000000" w:rsidRDefault="00000000" w:rsidRPr="00000000" w14:paraId="00000019">
      <w:pPr>
        <w:rPr/>
      </w:pPr>
      <w:r w:rsidDel="00000000" w:rsidR="00000000" w:rsidRPr="00000000">
        <w:rPr>
          <w:rtl w:val="0"/>
        </w:rPr>
        <w:t xml:space="preserve">Декларації також не варто аналізувати ізольовано, за одним роком або за одним показником. Правильніше дивитися динаміку за кілька років: як змінювалися доходи, нерухомість, транспорт, корпоративні права, грошові активи, позики, видатки та майно членів сім’ї. Публічний реєстр НАЗК дозволяє шукати декларації за ПІБ, роком, типом документа, видом декларації та категорією посади. </w:t>
      </w:r>
    </w:p>
    <w:p w:rsidR="00000000" w:rsidDel="00000000" w:rsidP="00000000" w:rsidRDefault="00000000" w:rsidRPr="00000000" w14:paraId="0000001A">
      <w:pPr>
        <w:rPr/>
      </w:pPr>
      <w:r w:rsidDel="00000000" w:rsidR="00000000" w:rsidRPr="00000000">
        <w:rPr>
          <w:rtl w:val="0"/>
        </w:rPr>
        <w:t xml:space="preserve">Якщо в декларації або партійній звітності з’являється компанія, контрагент, донор чи пов’язана особа, наступний крок – перевірити їх в інших відкритих джерелах. Для компаній варто шукати назву або ЄДРПОУ в ProZorro, щоб побачити участь у публічних закупівлях, замовників, суми контрактів і повторювані зв’язки. Для потенційних правових ризиків можна додатково перевіряти судовий реєстр, а для політичних фінансів – партійну звітність у системах НАЗК.</w:t>
      </w:r>
    </w:p>
    <w:p w:rsidR="00000000" w:rsidDel="00000000" w:rsidP="00000000" w:rsidRDefault="00000000" w:rsidRPr="00000000" w14:paraId="0000001B">
      <w:pPr>
        <w:numPr>
          <w:ilvl w:val="0"/>
          <w:numId w:val="4"/>
        </w:numPr>
        <w:spacing w:after="0" w:lineRule="auto"/>
        <w:ind w:left="720" w:hanging="360"/>
        <w:rPr>
          <w:i w:val="1"/>
          <w:iCs w:val="1"/>
        </w:rPr>
      </w:pPr>
      <w:r w:rsidDel="00000000" w:rsidR="00000000" w:rsidRPr="00000000">
        <w:rPr>
          <w:i w:val="1"/>
          <w:iCs w:val="1"/>
          <w:u w:val="single"/>
          <w:rtl w:val="0"/>
        </w:rPr>
        <w:t xml:space="preserve">Чекліст швидкої перевірки кандидата</w:t>
      </w:r>
      <w:r w:rsidDel="00000000" w:rsidR="00000000" w:rsidRPr="00000000">
        <w:rPr>
          <w:rtl w:val="0"/>
        </w:rPr>
      </w:r>
    </w:p>
    <w:p w:rsidR="00000000" w:rsidDel="00000000" w:rsidP="00000000" w:rsidRDefault="00000000" w:rsidRPr="00000000" w14:paraId="0000001C">
      <w:pPr>
        <w:numPr>
          <w:ilvl w:val="0"/>
          <w:numId w:val="1"/>
        </w:numPr>
        <w:spacing w:after="0" w:lineRule="auto"/>
        <w:ind w:left="720" w:hanging="360"/>
        <w:rPr>
          <w:u w:val="none"/>
        </w:rPr>
      </w:pPr>
      <w:r w:rsidDel="00000000" w:rsidR="00000000" w:rsidRPr="00000000">
        <w:rPr>
          <w:rtl w:val="0"/>
        </w:rPr>
        <w:t xml:space="preserve">Знайдіть точну офіційну ідентифікацію особи: посада, партія, округ, поточний статус.</w:t>
      </w:r>
      <w:r w:rsidDel="00000000" w:rsidR="00000000" w:rsidRPr="00000000">
        <w:rPr>
          <w:rtl w:val="0"/>
        </w:rPr>
      </w:r>
    </w:p>
    <w:p w:rsidR="00000000" w:rsidDel="00000000" w:rsidP="00000000" w:rsidRDefault="00000000" w:rsidRPr="00000000" w14:paraId="0000001D">
      <w:pPr>
        <w:numPr>
          <w:ilvl w:val="0"/>
          <w:numId w:val="1"/>
        </w:numPr>
        <w:spacing w:after="0" w:lineRule="auto"/>
        <w:ind w:left="720" w:hanging="360"/>
        <w:rPr>
          <w:u w:val="none"/>
        </w:rPr>
      </w:pPr>
      <w:r w:rsidDel="00000000" w:rsidR="00000000" w:rsidRPr="00000000">
        <w:rPr>
          <w:rtl w:val="0"/>
        </w:rPr>
        <w:t xml:space="preserve">Перевірте декларації щонайменше за три останні доступні роки.</w:t>
      </w:r>
      <w:r w:rsidDel="00000000" w:rsidR="00000000" w:rsidRPr="00000000">
        <w:rPr>
          <w:rtl w:val="0"/>
        </w:rPr>
      </w:r>
    </w:p>
    <w:p w:rsidR="00000000" w:rsidDel="00000000" w:rsidP="00000000" w:rsidRDefault="00000000" w:rsidRPr="00000000" w14:paraId="0000001E">
      <w:pPr>
        <w:numPr>
          <w:ilvl w:val="0"/>
          <w:numId w:val="1"/>
        </w:numPr>
        <w:spacing w:after="0" w:lineRule="auto"/>
        <w:ind w:left="720" w:hanging="360"/>
        <w:rPr>
          <w:u w:val="none"/>
        </w:rPr>
      </w:pPr>
      <w:r w:rsidDel="00000000" w:rsidR="00000000" w:rsidRPr="00000000">
        <w:rPr>
          <w:rtl w:val="0"/>
        </w:rPr>
        <w:t xml:space="preserve">Подивіться, чи була повна перевірка НАЗК і який її результат.</w:t>
      </w:r>
      <w:r w:rsidDel="00000000" w:rsidR="00000000" w:rsidRPr="00000000">
        <w:rPr>
          <w:rtl w:val="0"/>
        </w:rPr>
      </w:r>
    </w:p>
    <w:p w:rsidR="00000000" w:rsidDel="00000000" w:rsidP="00000000" w:rsidRDefault="00000000" w:rsidRPr="00000000" w14:paraId="0000001F">
      <w:pPr>
        <w:numPr>
          <w:ilvl w:val="0"/>
          <w:numId w:val="1"/>
        </w:numPr>
        <w:spacing w:after="0" w:lineRule="auto"/>
        <w:ind w:left="720" w:hanging="360"/>
        <w:rPr>
          <w:u w:val="none"/>
        </w:rPr>
      </w:pPr>
      <w:r w:rsidDel="00000000" w:rsidR="00000000" w:rsidRPr="00000000">
        <w:rPr>
          <w:rtl w:val="0"/>
        </w:rPr>
        <w:t xml:space="preserve">Перевірте реєстр корупційних правопорушень, але обов’язково з’ясуйте тип порушення.</w:t>
      </w:r>
      <w:r w:rsidDel="00000000" w:rsidR="00000000" w:rsidRPr="00000000">
        <w:rPr>
          <w:rtl w:val="0"/>
        </w:rPr>
      </w:r>
    </w:p>
    <w:p w:rsidR="00000000" w:rsidDel="00000000" w:rsidP="00000000" w:rsidRDefault="00000000" w:rsidRPr="00000000" w14:paraId="00000020">
      <w:pPr>
        <w:numPr>
          <w:ilvl w:val="0"/>
          <w:numId w:val="1"/>
        </w:numPr>
        <w:spacing w:after="0" w:lineRule="auto"/>
        <w:ind w:left="720" w:hanging="360"/>
        <w:rPr>
          <w:u w:val="none"/>
        </w:rPr>
      </w:pPr>
      <w:r w:rsidDel="00000000" w:rsidR="00000000" w:rsidRPr="00000000">
        <w:rPr>
          <w:rtl w:val="0"/>
        </w:rPr>
        <w:t xml:space="preserve">Оцініть фактичну парламентську або управлінську роботу: голосування, відвідування, виступи, запити, законопроєкти.</w:t>
      </w:r>
      <w:r w:rsidDel="00000000" w:rsidR="00000000" w:rsidRPr="00000000">
        <w:rPr>
          <w:rtl w:val="0"/>
        </w:rPr>
      </w:r>
    </w:p>
    <w:p w:rsidR="00000000" w:rsidDel="00000000" w:rsidP="00000000" w:rsidRDefault="00000000" w:rsidRPr="00000000" w14:paraId="00000021">
      <w:pPr>
        <w:numPr>
          <w:ilvl w:val="0"/>
          <w:numId w:val="1"/>
        </w:numPr>
        <w:spacing w:after="0" w:lineRule="auto"/>
        <w:ind w:left="720" w:hanging="360"/>
        <w:rPr>
          <w:u w:val="none"/>
        </w:rPr>
      </w:pPr>
      <w:r w:rsidDel="00000000" w:rsidR="00000000" w:rsidRPr="00000000">
        <w:rPr>
          <w:rtl w:val="0"/>
        </w:rPr>
        <w:t xml:space="preserve">Зіставте публічні обіцянки з повноваженнями, дедлайнами і фактичними діями.</w:t>
      </w:r>
      <w:r w:rsidDel="00000000" w:rsidR="00000000" w:rsidRPr="00000000">
        <w:rPr>
          <w:rtl w:val="0"/>
        </w:rPr>
      </w:r>
    </w:p>
    <w:p w:rsidR="00000000" w:rsidDel="00000000" w:rsidP="00000000" w:rsidRDefault="00000000" w:rsidRPr="00000000" w14:paraId="00000022">
      <w:pPr>
        <w:numPr>
          <w:ilvl w:val="0"/>
          <w:numId w:val="1"/>
        </w:numPr>
        <w:spacing w:after="0" w:lineRule="auto"/>
        <w:ind w:left="720" w:hanging="360"/>
        <w:rPr>
          <w:u w:val="none"/>
        </w:rPr>
      </w:pPr>
      <w:r w:rsidDel="00000000" w:rsidR="00000000" w:rsidRPr="00000000">
        <w:rPr>
          <w:rtl w:val="0"/>
        </w:rPr>
        <w:t xml:space="preserve">Якщо фігурують компанії, ФОП або донори – перевірте їх у ProZorro та бізнес-реєстрах.</w:t>
      </w:r>
      <w:r w:rsidDel="00000000" w:rsidR="00000000" w:rsidRPr="00000000">
        <w:rPr>
          <w:rtl w:val="0"/>
        </w:rPr>
      </w:r>
    </w:p>
    <w:p w:rsidR="00000000" w:rsidDel="00000000" w:rsidP="00000000" w:rsidRDefault="00000000" w:rsidRPr="00000000" w14:paraId="00000023">
      <w:pPr>
        <w:numPr>
          <w:ilvl w:val="0"/>
          <w:numId w:val="1"/>
        </w:numPr>
        <w:ind w:left="720" w:hanging="360"/>
        <w:rPr>
          <w:u w:val="none"/>
        </w:rPr>
      </w:pPr>
      <w:r w:rsidDel="00000000" w:rsidR="00000000" w:rsidRPr="00000000">
        <w:rPr>
          <w:rtl w:val="0"/>
        </w:rPr>
        <w:t xml:space="preserve">Порівняйте кілька кандидатів за однаковим алгоритмом.</w:t>
      </w:r>
      <w:r w:rsidDel="00000000" w:rsidR="00000000" w:rsidRPr="00000000">
        <w:rPr>
          <w:rtl w:val="0"/>
        </w:rPr>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spacing w:after="20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corruptinfo.nazk.gov.ua/" TargetMode="External"/><Relationship Id="rId10" Type="http://schemas.openxmlformats.org/officeDocument/2006/relationships/hyperlink" Target="https://politdata.nazk.gov.ua/" TargetMode="External"/><Relationship Id="rId13" Type="http://schemas.openxmlformats.org/officeDocument/2006/relationships/hyperlink" Target="https://prozorro.gov.ua/uk" TargetMode="External"/><Relationship Id="rId12" Type="http://schemas.openxmlformats.org/officeDocument/2006/relationships/hyperlink" Target="https://reyestr.court.gov.u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ublic.nazk.gov.ua/"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people.rada.gov.ua/body/view/vr-m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Y9fHVtglhfhLO9+4+Jxz5tvwTw==">CgMxLjA4AHIhMURNcGw1YzA5WEFZMktGZUc5LU14d2VzQWt3cU1sdW52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