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-618661</wp:posOffset>
            </wp:positionH>
            <wp:positionV relativeFrom="paragraph">
              <wp:posOffset>114300</wp:posOffset>
            </wp:positionV>
            <wp:extent cx="6464162" cy="1728788"/>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464162" cy="1728788"/>
                    </a:xfrm>
                    <a:prstGeom prst="rect"/>
                    <a:ln/>
                  </pic:spPr>
                </pic:pic>
              </a:graphicData>
            </a:graphic>
          </wp:anchor>
        </w:drawing>
      </w:r>
    </w:p>
    <w:p w:rsidR="00000000" w:rsidDel="00000000" w:rsidP="00000000" w:rsidRDefault="00000000" w:rsidRPr="00000000" w14:paraId="00000002">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Опитування, проведене серед учасни(ць)ків проєкту </w:t>
      </w:r>
      <w:r w:rsidDel="00000000" w:rsidR="00000000" w:rsidRPr="00000000">
        <w:rPr>
          <w:rFonts w:ascii="Times New Roman" w:cs="Times New Roman" w:eastAsia="Times New Roman" w:hAnsi="Times New Roman"/>
          <w:i w:val="1"/>
          <w:iCs w:val="1"/>
          <w:sz w:val="24"/>
          <w:szCs w:val="24"/>
          <w:rtl w:val="0"/>
        </w:rPr>
        <w:t xml:space="preserve">“Open Parliament Lab”</w:t>
      </w:r>
      <w:r w:rsidDel="00000000" w:rsidR="00000000" w:rsidRPr="00000000">
        <w:rPr>
          <w:rFonts w:ascii="Times New Roman" w:cs="Times New Roman" w:eastAsia="Times New Roman" w:hAnsi="Times New Roman"/>
          <w:sz w:val="24"/>
          <w:szCs w:val="24"/>
          <w:rtl w:val="0"/>
        </w:rPr>
        <w:t xml:space="preserve">, мало на меті оцінити базовий рівень обізнаності учасників щодо принципів роботи Верховної Ради України, структури парламенту, законодавчого процесу та окремих інструментів громадянської участі. Усього в опитуванні взяли участь 73 респонденти. Тест складався з 20 змістових питань, що охоплювали як загальні конституційні положення про Верховну Раду України, так і більш прикладні аспекти її діяльності: роль комітетів, етапи розгляду законопроєктів, функції Апарату ВРУ, порядок денний пленарних засідань, парламентський контроль та електронні петиції.</w:t>
      </w:r>
    </w:p>
    <w:p w:rsidR="00000000" w:rsidDel="00000000" w:rsidP="00000000" w:rsidRDefault="00000000" w:rsidRPr="00000000" w14:paraId="00000008">
      <w:pPr>
        <w:spacing w:after="2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Згідно з результатами тестування, загальний рівень обізнаності респондентів є доволі високим. Середній результат становить 18,67 правильних відповідей із 20, тобто 93,4%. Таким чином, більшість учасників мають досить системне розуміння базових принципів роботи парламенту. Повністю правильно на всі питання відповіли 32 респонденти, тобто 43,8% учасників. Ще 24 респонденти набрали 19 правильних відповідей. Загалом</w:t>
      </w:r>
      <w:r w:rsidDel="00000000" w:rsidR="00000000" w:rsidRPr="00000000">
        <w:rPr>
          <w:rFonts w:ascii="Times New Roman" w:cs="Times New Roman" w:eastAsia="Times New Roman" w:hAnsi="Times New Roman"/>
          <w:b w:val="1"/>
          <w:bCs w:val="1"/>
          <w:sz w:val="24"/>
          <w:szCs w:val="24"/>
          <w:rtl w:val="0"/>
        </w:rPr>
        <w:t xml:space="preserve"> 80,8% учасників дали від 18 до 20 правильних відповідей, що свідчить про достатньо сильну стартову підготовку.</w:t>
      </w:r>
    </w:p>
    <w:p w:rsidR="00000000" w:rsidDel="00000000" w:rsidP="00000000" w:rsidRDefault="00000000" w:rsidRPr="00000000" w14:paraId="00000009">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Найкраще респонденти орієнтуються у базових характеристиках Верховної Ради України та загальній логіці законодавчого процесу. </w:t>
      </w:r>
      <w:r w:rsidDel="00000000" w:rsidR="00000000" w:rsidRPr="00000000">
        <w:rPr>
          <w:rFonts w:ascii="Times New Roman" w:cs="Times New Roman" w:eastAsia="Times New Roman" w:hAnsi="Times New Roman"/>
          <w:sz w:val="24"/>
          <w:szCs w:val="24"/>
          <w:rtl w:val="0"/>
        </w:rPr>
        <w:t xml:space="preserve">Усі учасники правильно визначили, що єдиним органом законодавчої влади в Україні є Верховна Рада України, а також правильно відповіли, що під час першого читання законопроєкту обговорюється його загальна концепція. Дуже високі показники спостерігаються і щодо розуміння того, хто веде пленарні засідання Верховної Ради, до якої гілки влади належить парламент, який інструмент дозволяє громадянам офіційно звертатися до органів влади через електронну платформу. У кожному з цих питань частка правильних відповідей становить 98,6%.</w:t>
      </w:r>
    </w:p>
    <w:p w:rsidR="00000000" w:rsidDel="00000000" w:rsidP="00000000" w:rsidRDefault="00000000" w:rsidRPr="00000000" w14:paraId="0000000A">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Досить високими є також результати щодо розуміння ролі Голови Верховної Ради України, парламентського контролю та функцій комітетів. 97,3% респондентів правильно вказали, що закон після ухвалення парламентом перед передачею Президенту підписує Голова Верховної Ради України. Такий самий показник правильних відповідей зафіксовано у питаннях про парламентський контроль як функцію Верховної Ради, пов’язану з контролем діяльності уряду, та про роль парламентських комітетів у підготовці й аналізі законопроєктів до розгляду. Це свідчить про те, що учасники загалом добре розуміють окремі функціональні елементи роботи парламенту.</w:t>
      </w:r>
    </w:p>
    <w:p w:rsidR="00000000" w:rsidDel="00000000" w:rsidP="00000000" w:rsidRDefault="00000000" w:rsidRPr="00000000" w14:paraId="0000000B">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Окремої уваги потребують питання, пов’язані з процедурними деталями законодавчого процесу. 89% респондентів правильно відповіли, що народні депутати України обираються на 5 років, однак 11% обрали варіант “4 роки”. Такий самий показник правильних відповідей (89%) спостерігається у питанні про друге читання як етап, що передбачає внесення та розгляд поправок до законопроєкту. Це означає, що загальну логіку проходження законопроєкту учасники розуміють добре, але окремі етапи процедури ще потребують додаткового пояснення. Подібна тенденція простежується і щодо мінімальної кількості голосів для прийняття закону та офіційного опублікування законів України: у кожному з цих питань правильну відповідь дали 90,4% респондентів.</w:t>
      </w:r>
    </w:p>
    <w:p w:rsidR="00000000" w:rsidDel="00000000" w:rsidP="00000000" w:rsidRDefault="00000000" w:rsidRPr="00000000" w14:paraId="0000000C">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Узагальнюючи, можна стверджувати, що результати цього опитування демонструють високий рівень базової підготовки учасників. Респонденти </w:t>
      </w:r>
      <w:r w:rsidDel="00000000" w:rsidR="00000000" w:rsidRPr="00000000">
        <w:rPr>
          <w:rFonts w:ascii="Times New Roman" w:cs="Times New Roman" w:eastAsia="Times New Roman" w:hAnsi="Times New Roman"/>
          <w:b w:val="1"/>
          <w:bCs w:val="1"/>
          <w:sz w:val="24"/>
          <w:szCs w:val="24"/>
          <w:rtl w:val="0"/>
        </w:rPr>
        <w:t xml:space="preserve">добре орієнтуються у фундаментальних положеннях про Верховну Раду України,</w:t>
      </w:r>
      <w:r w:rsidDel="00000000" w:rsidR="00000000" w:rsidRPr="00000000">
        <w:rPr>
          <w:rFonts w:ascii="Times New Roman" w:cs="Times New Roman" w:eastAsia="Times New Roman" w:hAnsi="Times New Roman"/>
          <w:sz w:val="24"/>
          <w:szCs w:val="24"/>
          <w:rtl w:val="0"/>
        </w:rPr>
        <w:t xml:space="preserve"> розуміють її місце в системі поділу влади, знають основні елементи законодавчого процесу та мають уявлення про інструменти громадянського звернення. Найсильнішими виявилися знання загального конституційного статусу парламенту, першого читання законопроєкту, ролі Голови Верховної Ради та парламентських комітетів.</w:t>
      </w:r>
    </w:p>
    <w:p w:rsidR="00000000" w:rsidDel="00000000" w:rsidP="00000000" w:rsidRDefault="00000000" w:rsidRPr="00000000" w14:paraId="0000000D">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Разом із тим результати показують, що </w:t>
      </w:r>
      <w:r w:rsidDel="00000000" w:rsidR="00000000" w:rsidRPr="00000000">
        <w:rPr>
          <w:rFonts w:ascii="Times New Roman" w:cs="Times New Roman" w:eastAsia="Times New Roman" w:hAnsi="Times New Roman"/>
          <w:b w:val="1"/>
          <w:bCs w:val="1"/>
          <w:sz w:val="24"/>
          <w:szCs w:val="24"/>
          <w:rtl w:val="0"/>
        </w:rPr>
        <w:t xml:space="preserve">подальше навчання доцільно сфокусувати не на повторенні базових понять, а на поглибленні розуміння парламентської процедури та інституційних ролей.</w:t>
      </w:r>
      <w:r w:rsidDel="00000000" w:rsidR="00000000" w:rsidRPr="00000000">
        <w:rPr>
          <w:rFonts w:ascii="Times New Roman" w:cs="Times New Roman" w:eastAsia="Times New Roman" w:hAnsi="Times New Roman"/>
          <w:sz w:val="24"/>
          <w:szCs w:val="24"/>
          <w:rtl w:val="0"/>
        </w:rPr>
        <w:t xml:space="preserve"> Найбільше уваги варто приділити функціям Апарату Верховної Ради України, повному переліку суб’єктів законодавчої ініціативи, відмінностям між етапами розгляду законопроєкту, а також розмежуванню повноважень парламенту, уряду, комітетів і керівництва Верховної Ради. Таким чином, основний висновок полягає в тому, що молодь вже має міцну базу знань, однак потребує більш детального занурення у практичну логіку роботи парламенту та процедурні механізми ухвалення рішень.</w:t>
      </w:r>
    </w:p>
    <w:sectPr>
      <w:pgSz w:h="16834" w:w="11909" w:orient="portrait"/>
      <w:pgMar w:bottom="1440" w:top="992.1259842519685"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pOhtn9egAIyBAyasjjMkseVuQ==">CgMxLjA4AHIhMXVHSVlHcVNfSkM0N2loZjNhUWZzcjBBTTFvbHVhVTFx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