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-618661</wp:posOffset>
            </wp:positionH>
            <wp:positionV relativeFrom="paragraph">
              <wp:posOffset>114300</wp:posOffset>
            </wp:positionV>
            <wp:extent cx="6464162" cy="17287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64162" cy="17287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Парламент без закритих дверей: що Україна може перейняти у ЄС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Відкритість парламенту є однією з ключових умов демократичного врядування, адже саме вона визначає, наскільки громадяни можуть розуміти, відстежувати й оцінювати процес ухвалення рішень. Для України це питання має особливе значення. З одного боку, Верховна Рада вже має розвинену цифрову інфраструктуру та інструменти доступу до інформації, а з іншого – потребує подальшого посилення участі громадян, підзвітності та єдиних стандартів відкритості на рівні комітетів. Тому корисним є порівняння української практики з парламентськими моделями держав ЄС, які демонструють різні, але ефективні підходи до прозорості, цифрових інструментів і залучення громадян.</w:t>
      </w:r>
    </w:p>
    <w:p w:rsidR="00000000" w:rsidDel="00000000" w:rsidP="00000000" w:rsidRDefault="00000000" w:rsidRPr="00000000" w14:paraId="00000008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порівняння обрано шість парламентських моделей ЄС: Швеція як північна модель доступу до документів; Нідерланди й Німеччина як західноєвропейські моделі цифрової та процедурної відкритості; Франція як модель сильного інституту петицій; Польща як центрально-східноєвропейська модель відкритого законодавчого процесу; Естонія як цифрова балтійська модель участі. Критерії оцінки переведено у п’ять вимірів: доступ до інформації, участь громадян, прозорість законодавчого процесу, підзвітність, цифрові інструменти. Для стислого зіставлення кожен вимір оцінено за шкалою від 0 до 2, де 0 означає фрагментарність, 1 – часткову інституціоналізацію, 2 – системну наявність інструментів. У якості джерельної бази використовувалися переважно офіційні сайти парламентів, тексти законів і матеріали законотворчих процедур 2020-2026 років. Незалежні джерела використано лише там, де офіційні ресурси не дають порівнюваної оцінки впровадження. Важливо зазначити, що це аналітична, а не офіційна рейтингова шкала.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20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Поточний стан відкритості Верховної Ради України</w:t>
      </w:r>
    </w:p>
    <w:p w:rsidR="00000000" w:rsidDel="00000000" w:rsidP="00000000" w:rsidRDefault="00000000" w:rsidRPr="00000000" w14:paraId="0000000A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виміром доступу до інформації Верховна Рада має розвинену інфраструктуру публікації. Відкритий вебпортал містить 604 набори даних, включно з законопроєктами, голосуваннями, пленарними засіданнями та даними про депутатів. Для запитувачів працюють електронна форма, е-пошта та паперові форми запиту на публічну інформацію. Офіційні звіти показують, що апарат обробляє значний масив звернень: наприклад, 261 запит у січні 2025 року та 158 у лютому 2026 року.</w:t>
      </w:r>
    </w:p>
    <w:p w:rsidR="00000000" w:rsidDel="00000000" w:rsidP="00000000" w:rsidRDefault="00000000" w:rsidRPr="00000000" w14:paraId="0000000B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Сторінка “Законотворчість” показує надходження законопроєктів у реальному часі, а картка законопроєкту містить ініціатора, головний комітет, етап просування, акти, пов’язані рішення та документи. Паралельно існує окремий трекінг проходження законопроєктів у комітетах. Це, до речі, наближає Верховну Раду до польської та французької моделей процедурної видимості. </w:t>
      </w:r>
    </w:p>
    <w:p w:rsidR="00000000" w:rsidDel="00000000" w:rsidP="00000000" w:rsidRDefault="00000000" w:rsidRPr="00000000" w14:paraId="0000000C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Портал Ради дозволяє подати звернення, е-петицію, записатися на особистий прийом і долучитися до обговорення законопроєктів. Для формального розгляду е-петиції потрібні щонайменше 25 000 підписів за три місяці. На практиці ця норма дійсно працює, що, наприклад, видно з петиції “Стосовно недопущення звуження прав та гарантій освітян”, яка набрала 25 015 підписів і отримала відповідь у лютому 2026 року. Водночас такий поріг високий порівняно з естонською колективною пропозицією і не створює гнучких каналів для тематичних консультацій на ранніх етапах законодавства. </w:t>
      </w:r>
    </w:p>
    <w:p w:rsidR="00000000" w:rsidDel="00000000" w:rsidP="00000000" w:rsidRDefault="00000000" w:rsidRPr="00000000" w14:paraId="0000000D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Підзвітність і цифрові інструменти у Верховній Раді розвинені, але фрагментовані. Профілі депутатів містять голосування, електронну реєстрацію, хронологію виступів, депутатські запити та законодавчу активність; на головній сторінці доступні стенограми пленарних засідань, а телеканал “Рада” публікує записи засідань. Слабше місце – рівень комітетів. Хоча оновлена редакція Закону “Про комітети Верховної Ради України” від 20.01.2026 вже вимагають прямої трансляції відкритих засідань і публікації документів, імплементація лишається нерівною.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0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Яка ситуація в інших європейських парламентах?</w:t>
      </w:r>
    </w:p>
    <w:tbl>
      <w:tblPr>
        <w:tblStyle w:val="Table1"/>
        <w:tblW w:w="10050.0" w:type="dxa"/>
        <w:jc w:val="left"/>
        <w:tblInd w:w="-5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1365"/>
        <w:gridCol w:w="1215"/>
        <w:gridCol w:w="1710"/>
        <w:gridCol w:w="1500"/>
        <w:gridCol w:w="1485"/>
        <w:gridCol w:w="915"/>
        <w:tblGridChange w:id="0">
          <w:tblGrid>
            <w:gridCol w:w="1860"/>
            <w:gridCol w:w="1365"/>
            <w:gridCol w:w="1215"/>
            <w:gridCol w:w="1710"/>
            <w:gridCol w:w="1500"/>
            <w:gridCol w:w="1485"/>
            <w:gridCol w:w="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Країна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Доступ до інформації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Участь громадян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Прозорість законодавчого процесу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Підзвітність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Цифрові інструменти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Разом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Нідерланди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Німеччина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Швеція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Польща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Франція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Естонія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Україна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47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Нідерланди демонструють одну з найкращих моделей: OData API і SyncFeed API (інструменти автоматичного відстеження та вивантаження даних) дають машинозчитуваний доступ до парламентських даних, цифровий інструмент Debat Direct пов'язує наживо відеовіконце трансляції з поточним порядком денним, громадяни можуть подавати громадянську петицію із 40 000 підписами для включення до порядку денного, а публічні реєстри містять позапарламентську діяльність, подарунки й оплачені поїздки депутатів.</w:t>
      </w:r>
    </w:p>
    <w:p w:rsidR="00000000" w:rsidDel="00000000" w:rsidP="00000000" w:rsidRDefault="00000000" w:rsidRPr="00000000" w14:paraId="00000049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Німеччині ефективно поєднується законодавча прозорість та підзвітність: документи й пленарні протоколи доступні як XML/JSON для подальшої зручної обробки, списки поіменних голосувань – у машинозчитуваному форматі, парламентське телебачення транслює роботу Бундестагу, працює портал публічних петицій, а додатково існують лобістський реєстр і оприлюднення побічних доходів депутатів. </w:t>
      </w:r>
    </w:p>
    <w:p w:rsidR="00000000" w:rsidDel="00000000" w:rsidP="00000000" w:rsidRDefault="00000000" w:rsidRPr="00000000" w14:paraId="0000004A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Швеція дійсно особливо сильна в доступі до інформації: сайт Риксдагу містить понад пів мільйона парламентських документів, окремий портал відкритих даних із API та датасетами для документів, депутатів, голосувань, виступів і календаря, а також реєстр фінансових інтересів депутатів. Водночас окремого електронного каналу для петицій на порталі не видно так само виразно, як, наприклад, у Франції чи Німеччині. </w:t>
      </w:r>
    </w:p>
    <w:p w:rsidR="00000000" w:rsidDel="00000000" w:rsidP="00000000" w:rsidRDefault="00000000" w:rsidRPr="00000000" w14:paraId="0000004B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Польща близька до України саме в силі процедурного відстежування. Сейм має сторінки проходження законодавчого процесу, списки голосувань, архіви пленарних і комітетських засідань, а також офіційний API. Також є можливість подання громадянської законодавчої ініціативи зі 100 000 підписів. </w:t>
      </w:r>
    </w:p>
    <w:p w:rsidR="00000000" w:rsidDel="00000000" w:rsidP="00000000" w:rsidRDefault="00000000" w:rsidRPr="00000000" w14:paraId="0000004C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Франція демонструє ефективну модель громадянської участі та прозорості законотворчості. Портал відкритих даних Національних зборів публікує детальну інформацію про голосування, засідання, а також дозволяє відстежувати рух кожної поправки із зазначенням її автора та фінального результату. Механізм електронних петицій інтегрований у парламентський процес: ініціативи, що зібрали 100 000 підписів, отримують пріоритетний статус і обов'язково розглядаються профільними комісіями, а 500 000 підписів, залучених щонайменше з 30 департаментів, дозволяють винести питання на загальнонаціональні дебати у пленарній залі. Крім того, відеопортал парламенту забезпечує прямі ефіри та доступ до архіву записів усіх засідань та комісій.</w:t>
      </w:r>
    </w:p>
    <w:p w:rsidR="00000000" w:rsidDel="00000000" w:rsidP="00000000" w:rsidRDefault="00000000" w:rsidRPr="00000000" w14:paraId="0000004D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Естонії колективну пропозицію до Рійгікогу можна подати за наявності 1 000 підписів, офіційний сайт приймає інформаційні запити, транслює пленарні й комітетські засідання, а сторінки депутатів показують персональні голосування та присутність на засіданнях. Це, загалом, створює високий рівень практичної підзвітності, навіть якщо окрема система відкритих даних публічно промаркована менш виразно, ніж у Нідерландах чи Швеції. 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Кращі міжнародні практики</w:t>
      </w:r>
    </w:p>
    <w:p w:rsidR="00000000" w:rsidDel="00000000" w:rsidP="00000000" w:rsidRDefault="00000000" w:rsidRPr="00000000" w14:paraId="0000004F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Найцінніші практики для запозичення Україною можна звести до чотирьох:</w:t>
      </w:r>
    </w:p>
    <w:p w:rsidR="00000000" w:rsidDel="00000000" w:rsidP="00000000" w:rsidRDefault="00000000" w:rsidRPr="00000000" w14:paraId="00000050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По-перше, модель єдиної бази цифрових даних: нідерландські OData/SyncFeed, відкриті формати Бундестагу та API Риксдагу роблять парламентські дані придатними як для читання, так і для повторного використання журналістами, civic tech-проєктами та дослідниками.</w:t>
      </w:r>
    </w:p>
    <w:p w:rsidR="00000000" w:rsidDel="00000000" w:rsidP="00000000" w:rsidRDefault="00000000" w:rsidRPr="00000000" w14:paraId="00000051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По-друге, централізація підзвітності. Моделі Нідерландів та Німеччини роблять повністю публічними не лише результати голосувань, а й будь-які зовнішні впливи на депутатів – їхні подарунки, оплачені третіми сторонами поїздки, додаткові доходи, сумісництво та контакти з лобістами</w:t>
      </w:r>
    </w:p>
    <w:p w:rsidR="00000000" w:rsidDel="00000000" w:rsidP="00000000" w:rsidRDefault="00000000" w:rsidRPr="00000000" w14:paraId="00000052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По-третє, деталізація законотворчого процесу. Наприклад, Франція публікує поправки на рівні конкретного законодавчого досьє з їхнім авторством і результатом. Нідерланди, своєю чергою, вимагають публікації повних стенограм навіть із засідань комітетів, де обговорюються законопроєкти.</w:t>
      </w:r>
    </w:p>
    <w:sectPr>
      <w:headerReference r:id="rId8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BopJpuoBRemQQyboMYPIkz2wUw==">CgMxLjA4AHIhMWN1bTI4ZEV3cUJBYkFnYUNBZHJXWlBJcFpjYmZmd2I5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