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-618661</wp:posOffset>
            </wp:positionH>
            <wp:positionV relativeFrom="paragraph">
              <wp:posOffset>114300</wp:posOffset>
            </wp:positionV>
            <wp:extent cx="6464162" cy="1728788"/>
            <wp:effectExtent b="0" l="0" r="0" t="0"/>
            <wp:wrapNone/>
            <wp:docPr id="2"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Опитування, проведене серед учасни(ць)ків проєкту </w:t>
      </w:r>
      <w:r w:rsidDel="00000000" w:rsidR="00000000" w:rsidRPr="00000000">
        <w:rPr>
          <w:rFonts w:ascii="Times New Roman" w:cs="Times New Roman" w:eastAsia="Times New Roman" w:hAnsi="Times New Roman"/>
          <w:i w:val="1"/>
          <w:iCs w:val="1"/>
          <w:sz w:val="24"/>
          <w:szCs w:val="24"/>
          <w:rtl w:val="0"/>
        </w:rPr>
        <w:t xml:space="preserve">“Open Parliament Lab”</w:t>
      </w:r>
      <w:r w:rsidDel="00000000" w:rsidR="00000000" w:rsidRPr="00000000">
        <w:rPr>
          <w:rFonts w:ascii="Times New Roman" w:cs="Times New Roman" w:eastAsia="Times New Roman" w:hAnsi="Times New Roman"/>
          <w:sz w:val="24"/>
          <w:szCs w:val="24"/>
          <w:rtl w:val="0"/>
        </w:rPr>
        <w:t xml:space="preserve">, мало на меті з’ясувати, наскільки молодь розуміє функції Верховної Ради України, роль народних депутатів, інструменти громадської участі, а також як оцінює власну готовність долучатися до парламентських процесів. Усього в опитуванні взяли участь 73 респонденти.</w:t>
      </w:r>
    </w:p>
    <w:p w:rsidR="00000000" w:rsidDel="00000000" w:rsidP="00000000" w:rsidRDefault="00000000" w:rsidRPr="00000000" w14:paraId="00000007">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Згідно з результатами опитування, загальний </w:t>
      </w:r>
      <w:r w:rsidDel="00000000" w:rsidR="00000000" w:rsidRPr="00000000">
        <w:rPr>
          <w:rFonts w:ascii="Times New Roman" w:cs="Times New Roman" w:eastAsia="Times New Roman" w:hAnsi="Times New Roman"/>
          <w:b w:val="1"/>
          <w:bCs w:val="1"/>
          <w:sz w:val="24"/>
          <w:szCs w:val="24"/>
          <w:rtl w:val="0"/>
        </w:rPr>
        <w:t xml:space="preserve">рівень самооцінки обізнаності щодо роботи парламенту є високим.</w:t>
      </w:r>
      <w:r w:rsidDel="00000000" w:rsidR="00000000" w:rsidRPr="00000000">
        <w:rPr>
          <w:rFonts w:ascii="Times New Roman" w:cs="Times New Roman" w:eastAsia="Times New Roman" w:hAnsi="Times New Roman"/>
          <w:sz w:val="24"/>
          <w:szCs w:val="24"/>
          <w:rtl w:val="0"/>
        </w:rPr>
        <w:t xml:space="preserve"> На питання про розуміння функцій парламенту середнє значення становить 4,42 із 5, а 90,4% респондентів обрали оцінки 4 або 5. Схожий показник спостерігається і щодо розуміння ролі народних депутатів: середнє значення становить 4,37, а частка високих оцінок також дорівнює 90,4%. Це свідчить про те, що більшість учасників мають достатньо впевнене уявлення про базові принципи функціонування парламенту та депутатського корпусу.</w:t>
      </w:r>
    </w:p>
    <w:p w:rsidR="00000000" w:rsidDel="00000000" w:rsidP="00000000" w:rsidRDefault="00000000" w:rsidRPr="00000000" w14:paraId="00000008">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Респонденти </w:t>
      </w:r>
      <w:r w:rsidDel="00000000" w:rsidR="00000000" w:rsidRPr="00000000">
        <w:rPr>
          <w:rFonts w:ascii="Times New Roman" w:cs="Times New Roman" w:eastAsia="Times New Roman" w:hAnsi="Times New Roman"/>
          <w:b w:val="1"/>
          <w:bCs w:val="1"/>
          <w:sz w:val="24"/>
          <w:szCs w:val="24"/>
          <w:rtl w:val="0"/>
        </w:rPr>
        <w:t xml:space="preserve">добре орієнтуються у ключових функціях Верховної Ради України. </w:t>
      </w:r>
      <w:r w:rsidDel="00000000" w:rsidR="00000000" w:rsidRPr="00000000">
        <w:rPr>
          <w:rFonts w:ascii="Times New Roman" w:cs="Times New Roman" w:eastAsia="Times New Roman" w:hAnsi="Times New Roman"/>
          <w:sz w:val="24"/>
          <w:szCs w:val="24"/>
          <w:rtl w:val="0"/>
        </w:rPr>
        <w:t xml:space="preserve">Подібна тенденція простежується і в питанні про форми діяльності народних депутатів. Найбільш відомими для респондентів є участь у засіданнях – 98,6%, робота у комітетах – 97,3% та підготовка законопроєктів – 97,3%. Дещо нижчими, але також високими є показники щодо роботи з виборцями – 82,2% та контрольної функції – 71,2%. Це дозволяє зробити висновок, що молодь добре знає публічно видимі та процедурні аспекти депутатської діяльності, однак контрольна функція депутатів залишається менш очевидною порівняно з участю у засіданнях, роботою в комітетах та законодавчою ініціативою.</w:t>
      </w:r>
    </w:p>
    <w:p w:rsidR="00000000" w:rsidDel="00000000" w:rsidP="00000000" w:rsidRDefault="00000000" w:rsidRPr="00000000" w14:paraId="00000009">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Окрему цінність становить блок про інструменти громадської участі. Найвідомішим інструментом є електронні петиції: 93,2% респондентів зазначили, що добре знають про них. Досить високим є також рівень обізнаності щодо звернень громадян – 79,5%. Водночас громадські консультації та участь у розробці рішень або законів є менш зрозумілими для учасників. Про громадські консультації добре знають 65,8% респондентів, а про участь у розробці рішень чи законів – лише 52,1%. Отже, молодь краще орієнтується в інструментах, які мають простішу й більш відому форму участі, тоді як складніші механізми залучення до вироблення політики залишаються менш засвоєними.</w:t>
      </w:r>
    </w:p>
    <w:p w:rsidR="00000000" w:rsidDel="00000000" w:rsidP="00000000" w:rsidRDefault="00000000" w:rsidRPr="00000000" w14:paraId="0000000A">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806700"/>
            <wp:effectExtent b="0" l="0" r="0" t="0"/>
            <wp:docPr descr="Діаграма відповідей у Формах. Назва запитання: Чи знаєте Ви про такі інструменти громадської участі? . Кількість відповідей: ." id="1" name="image1.png"/>
            <a:graphic>
              <a:graphicData uri="http://schemas.openxmlformats.org/drawingml/2006/picture">
                <pic:pic>
                  <pic:nvPicPr>
                    <pic:cNvPr descr="Діаграма відповідей у Формах. Назва запитання: Чи знаєте Ви про такі інструменти громадської участі? . Кількість відповідей: ." id="0" name="image1.png"/>
                    <pic:cNvPicPr preferRelativeResize="0"/>
                  </pic:nvPicPr>
                  <pic:blipFill>
                    <a:blip r:embed="rId8"/>
                    <a:srcRect b="0" l="0" r="0" t="0"/>
                    <a:stretch>
                      <a:fillRect/>
                    </a:stretch>
                  </pic:blipFill>
                  <pic:spPr>
                    <a:xfrm>
                      <a:off x="0" y="0"/>
                      <a:ext cx="57312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Показовими є відповіді на питання про практичне використання інструментів громадської участі. </w:t>
      </w:r>
      <w:r w:rsidDel="00000000" w:rsidR="00000000" w:rsidRPr="00000000">
        <w:rPr>
          <w:rFonts w:ascii="Times New Roman" w:cs="Times New Roman" w:eastAsia="Times New Roman" w:hAnsi="Times New Roman"/>
          <w:b w:val="1"/>
          <w:bCs w:val="1"/>
          <w:sz w:val="24"/>
          <w:szCs w:val="24"/>
          <w:rtl w:val="0"/>
        </w:rPr>
        <w:t xml:space="preserve">65,8% респондентів уже користувалися хоча б одним із таких механізмів,</w:t>
      </w:r>
      <w:r w:rsidDel="00000000" w:rsidR="00000000" w:rsidRPr="00000000">
        <w:rPr>
          <w:rFonts w:ascii="Times New Roman" w:cs="Times New Roman" w:eastAsia="Times New Roman" w:hAnsi="Times New Roman"/>
          <w:sz w:val="24"/>
          <w:szCs w:val="24"/>
          <w:rtl w:val="0"/>
        </w:rPr>
        <w:t xml:space="preserve"> тоді як 34,2% не мали такого досвіду. Серед тих, хто не користувався цими інструментами, головною причиною є не відсутність інтересу, а радше відсутність потреби. Значно рідше згадувалися незнання, як це зробити, невіра в ефективність або складність процедури. Це важливо, оскільки показує, що бар’єр участі в цьому випадку полягає не стільки у повному нерозумінні інструментів, скільки у відсутності практичного стимулу або конкретної ситуації, яка спонукала б ними скористатися.</w:t>
      </w:r>
    </w:p>
    <w:p w:rsidR="00000000" w:rsidDel="00000000" w:rsidP="00000000" w:rsidRDefault="00000000" w:rsidRPr="00000000" w14:paraId="0000000C">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Водночас</w:t>
      </w:r>
      <w:r w:rsidDel="00000000" w:rsidR="00000000" w:rsidRPr="00000000">
        <w:rPr>
          <w:rFonts w:ascii="Times New Roman" w:cs="Times New Roman" w:eastAsia="Times New Roman" w:hAnsi="Times New Roman"/>
          <w:b w:val="1"/>
          <w:bCs w:val="1"/>
          <w:sz w:val="24"/>
          <w:szCs w:val="24"/>
          <w:rtl w:val="0"/>
        </w:rPr>
        <w:t xml:space="preserve"> готовність використовувати інструменти громадської участі в майбутньому є дуже високою.</w:t>
      </w:r>
      <w:r w:rsidDel="00000000" w:rsidR="00000000" w:rsidRPr="00000000">
        <w:rPr>
          <w:rFonts w:ascii="Times New Roman" w:cs="Times New Roman" w:eastAsia="Times New Roman" w:hAnsi="Times New Roman"/>
          <w:sz w:val="24"/>
          <w:szCs w:val="24"/>
          <w:rtl w:val="0"/>
        </w:rPr>
        <w:t xml:space="preserve"> Середнє значення становить 4,48 із 5, а 91,8% респондентів обрали оцінки 4 або 5. Таким чином, навіть ті учасники, які ще не мають значного практичного досвіду, загалом відкриті до подальшого залучення. Це свідчить про наявність потенціалу для розвитку громадської участі серед молоді, якщо інструменти будуть зрозумілими, доступними та пов’язаними з відчутним результатом.</w:t>
      </w:r>
    </w:p>
    <w:p w:rsidR="00000000" w:rsidDel="00000000" w:rsidP="00000000" w:rsidRDefault="00000000" w:rsidRPr="00000000" w14:paraId="0000000D">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Натомість показники довіри до парламенту та оцінки його ефективності є помітно </w:t>
      </w:r>
      <w:r w:rsidDel="00000000" w:rsidR="00000000" w:rsidRPr="00000000">
        <w:rPr>
          <w:rFonts w:ascii="Times New Roman" w:cs="Times New Roman" w:eastAsia="Times New Roman" w:hAnsi="Times New Roman"/>
          <w:sz w:val="24"/>
          <w:szCs w:val="24"/>
          <w:rtl w:val="0"/>
        </w:rPr>
        <w:t xml:space="preserve">стриманішими</w:t>
      </w:r>
      <w:r w:rsidDel="00000000" w:rsidR="00000000" w:rsidRPr="00000000">
        <w:rPr>
          <w:rFonts w:ascii="Times New Roman" w:cs="Times New Roman" w:eastAsia="Times New Roman" w:hAnsi="Times New Roman"/>
          <w:sz w:val="24"/>
          <w:szCs w:val="24"/>
          <w:rtl w:val="0"/>
        </w:rPr>
        <w:t xml:space="preserve">. Середній </w:t>
      </w:r>
      <w:r w:rsidDel="00000000" w:rsidR="00000000" w:rsidRPr="00000000">
        <w:rPr>
          <w:rFonts w:ascii="Times New Roman" w:cs="Times New Roman" w:eastAsia="Times New Roman" w:hAnsi="Times New Roman"/>
          <w:b w:val="1"/>
          <w:bCs w:val="1"/>
          <w:sz w:val="24"/>
          <w:szCs w:val="24"/>
          <w:rtl w:val="0"/>
        </w:rPr>
        <w:t xml:space="preserve">рівень довіри до парламенту становить 3,45 із 5,</w:t>
      </w:r>
      <w:r w:rsidDel="00000000" w:rsidR="00000000" w:rsidRPr="00000000">
        <w:rPr>
          <w:rFonts w:ascii="Times New Roman" w:cs="Times New Roman" w:eastAsia="Times New Roman" w:hAnsi="Times New Roman"/>
          <w:sz w:val="24"/>
          <w:szCs w:val="24"/>
          <w:rtl w:val="0"/>
        </w:rPr>
        <w:t xml:space="preserve"> а високі оцінки 4 або 5 обрали 46,6% респондентів. Оцінка ефективності діяльності парламенту є ще трохи нижчою: середнє значення становить 3,33, а частка високих оцінок – 45,2%. Отже, молодь загалом добре розуміє роль парламенту і готова брати участь у політичних процесах, однак її ставлення до реальної ефективності інституції залишається обережним і не безумовно позитивним.</w:t>
      </w:r>
    </w:p>
    <w:p w:rsidR="00000000" w:rsidDel="00000000" w:rsidP="00000000" w:rsidRDefault="00000000" w:rsidRPr="00000000" w14:paraId="0000000E">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730500"/>
            <wp:effectExtent b="0" l="0" r="0" t="0"/>
            <wp:docPr descr="Діаграма відповідей у Формах. Назва запитання: Наскільки Ви довіряєте парламенту? (де 1 - не довіряю взагалі, а 5 - довіряю). Кількість відповідей: 73 відповіді." id="4" name="image2.png"/>
            <a:graphic>
              <a:graphicData uri="http://schemas.openxmlformats.org/drawingml/2006/picture">
                <pic:pic>
                  <pic:nvPicPr>
                    <pic:cNvPr descr="Діаграма відповідей у Формах. Назва запитання: Наскільки Ви довіряєте парламенту? (де 1 - не довіряю взагалі, а 5 - довіряю). Кількість відповідей: 73 відповіді." id="0" name="image2.png"/>
                    <pic:cNvPicPr preferRelativeResize="0"/>
                  </pic:nvPicPr>
                  <pic:blipFill>
                    <a:blip r:embed="rId9"/>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цьому політична зацікавленість і досвід громадської або політичної діяльності серед респондентів є дуже високими. </w:t>
      </w:r>
      <w:r w:rsidDel="00000000" w:rsidR="00000000" w:rsidRPr="00000000">
        <w:rPr>
          <w:rFonts w:ascii="Times New Roman" w:cs="Times New Roman" w:eastAsia="Times New Roman" w:hAnsi="Times New Roman"/>
          <w:b w:val="1"/>
          <w:bCs w:val="1"/>
          <w:sz w:val="24"/>
          <w:szCs w:val="24"/>
          <w:rtl w:val="0"/>
        </w:rPr>
        <w:t xml:space="preserve">91,8% учасників зазначили, що активно цікавляться політичними процесами, </w:t>
      </w:r>
      <w:r w:rsidDel="00000000" w:rsidR="00000000" w:rsidRPr="00000000">
        <w:rPr>
          <w:rFonts w:ascii="Times New Roman" w:cs="Times New Roman" w:eastAsia="Times New Roman" w:hAnsi="Times New Roman"/>
          <w:sz w:val="24"/>
          <w:szCs w:val="24"/>
          <w:rtl w:val="0"/>
        </w:rPr>
        <w:t xml:space="preserve">ще 8,2% – цікавляться іноді. 97,3% респондентів уже брали участь у громадській або політичній діяльності. Найпоширенішими форматами є волонтерство – 79,5%, участь у роботі громадських організацій – 68,5% та підписання петицій – 60,3%. Менш поширеними є безпосереднє звернення до органів влади – 38,4% та участь у консультаціях або обговореннях – 37%. Таким чином, молодь активно залучена до громадського життя, однак її участь частіше проявляється у волонтерських, організаційних або петиційних форматах, ніж у складніших процедурах впливу на вироблення рішень.</w:t>
      </w:r>
    </w:p>
    <w:p w:rsidR="00000000" w:rsidDel="00000000" w:rsidP="00000000" w:rsidRDefault="00000000" w:rsidRPr="00000000" w14:paraId="00000010">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413000"/>
            <wp:effectExtent b="0" l="0" r="0" t="0"/>
            <wp:docPr descr="Діаграма відповідей у Формах. Назва запитання: Чи цікавитеся Ви політичними процесами? . Кількість відповідей: 73 відповіді." id="3" name="image3.png"/>
            <a:graphic>
              <a:graphicData uri="http://schemas.openxmlformats.org/drawingml/2006/picture">
                <pic:pic>
                  <pic:nvPicPr>
                    <pic:cNvPr descr="Діаграма відповідей у Формах. Назва запитання: Чи цікавитеся Ви політичними процесами? . Кількість відповідей: 73 відповіді." id="0" name="image3.png"/>
                    <pic:cNvPicPr preferRelativeResize="0"/>
                  </pic:nvPicPr>
                  <pic:blipFill>
                    <a:blip r:embed="rId10"/>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413000"/>
            <wp:effectExtent b="0" l="0" r="0" t="0"/>
            <wp:docPr descr="Діаграма відповідей у Формах. Назва запитання: Чи брали Ви участь у громадській або політичній діяльності?. Кількість відповідей: 73 відповіді." id="5" name="image4.png"/>
            <a:graphic>
              <a:graphicData uri="http://schemas.openxmlformats.org/drawingml/2006/picture">
                <pic:pic>
                  <pic:nvPicPr>
                    <pic:cNvPr descr="Діаграма відповідей у Формах. Назва запитання: Чи брали Ви участь у громадській або політичній діяльності?. Кількість відповідей: 73 відповіді." id="0" name="image4.png"/>
                    <pic:cNvPicPr preferRelativeResize="0"/>
                  </pic:nvPicPr>
                  <pic:blipFill>
                    <a:blip r:embed="rId11"/>
                    <a:srcRect b="0" l="0" r="0" t="0"/>
                    <a:stretch>
                      <a:fillRect/>
                    </a:stretch>
                  </pic:blipFill>
                  <pic:spPr>
                    <a:xfrm>
                      <a:off x="0" y="0"/>
                      <a:ext cx="57312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 важливим є аналіз відкритих відповідей щодо бар’єрів участі у парламентських процесах. Найчастіше респонденти згадували низький рівень поінформованості, складність процедур, недовіру до влади, відчуття відсутності реального впливу, брак часу та недостатню доступність механізмів участі для молоді з менших міст. У багатьох відповідях повторюється думка, що громадяни часто не розуміють, куди звертатися, як саме впливати на рішення і чи матиме така участь практичний результат. Отже, ключова проблема полягає не у байдужості молоді, а у складності переходу до реальної інституційної дії.</w:t>
      </w:r>
    </w:p>
    <w:p w:rsidR="00000000" w:rsidDel="00000000" w:rsidP="00000000" w:rsidRDefault="00000000" w:rsidRPr="00000000" w14:paraId="00000013">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відповідях на питання про те, що могло б підвищити рівень участі молоді у політиці, найчастіше згадувалися громадянська освіта, стажування, практичні програми при органах влади, молодіжні ради, відкриті зустрічі з представниками парламенту, доступна комунікація через соціальні мережі та створення зрозумілих цифрових платформ. Важливо, що </w:t>
      </w:r>
      <w:r w:rsidDel="00000000" w:rsidR="00000000" w:rsidRPr="00000000">
        <w:rPr>
          <w:rFonts w:ascii="Times New Roman" w:cs="Times New Roman" w:eastAsia="Times New Roman" w:hAnsi="Times New Roman"/>
          <w:b w:val="1"/>
          <w:bCs w:val="1"/>
          <w:sz w:val="24"/>
          <w:szCs w:val="24"/>
          <w:rtl w:val="0"/>
        </w:rPr>
        <w:t xml:space="preserve">респонденти наголошують на потребі в інформації, але й також на потребі у відчутті реального впливу. </w:t>
      </w:r>
      <w:r w:rsidDel="00000000" w:rsidR="00000000" w:rsidRPr="00000000">
        <w:rPr>
          <w:rFonts w:ascii="Times New Roman" w:cs="Times New Roman" w:eastAsia="Times New Roman" w:hAnsi="Times New Roman"/>
          <w:sz w:val="24"/>
          <w:szCs w:val="24"/>
          <w:rtl w:val="0"/>
        </w:rPr>
        <w:t xml:space="preserve">Тобто молодь очікує таких форматів участі, де її роль не зводиться до пасивного навчання або символічної присутності, а передбачає можливість долучатися до обговорення, підготовки пропозицій і практичного вирішення проблем.</w:t>
      </w:r>
    </w:p>
    <w:p w:rsidR="00000000" w:rsidDel="00000000" w:rsidP="00000000" w:rsidRDefault="00000000" w:rsidRPr="00000000" w14:paraId="00000014">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Відповіді щодо браку знань і навичок також дозволяють виокремити кілька повторюваних потреб. Респонденти часто говорять про нестачу практичних знань щодо законодавчого процесу, роботи парламентських комітетів, підготовки пропозицій до законопроєктів, парламентської аналітики, адвокації, комунікації з органами влади та використання відкритих парламентських даних. Це показує, що </w:t>
      </w:r>
      <w:r w:rsidDel="00000000" w:rsidR="00000000" w:rsidRPr="00000000">
        <w:rPr>
          <w:rFonts w:ascii="Times New Roman" w:cs="Times New Roman" w:eastAsia="Times New Roman" w:hAnsi="Times New Roman"/>
          <w:b w:val="1"/>
          <w:bCs w:val="1"/>
          <w:sz w:val="24"/>
          <w:szCs w:val="24"/>
          <w:rtl w:val="0"/>
        </w:rPr>
        <w:t xml:space="preserve">молодь потребує більш прикладної підготовки, </w:t>
      </w:r>
      <w:r w:rsidDel="00000000" w:rsidR="00000000" w:rsidRPr="00000000">
        <w:rPr>
          <w:rFonts w:ascii="Times New Roman" w:cs="Times New Roman" w:eastAsia="Times New Roman" w:hAnsi="Times New Roman"/>
          <w:sz w:val="24"/>
          <w:szCs w:val="24"/>
          <w:rtl w:val="0"/>
        </w:rPr>
        <w:t xml:space="preserve">тобто такої, що пояснює, як саме перетворити ідею, проблему або суспільний запит на конкретну пропозицію, звернення, аналітичну записку чи участь у консультаціях.</w:t>
      </w:r>
    </w:p>
    <w:p w:rsidR="00000000" w:rsidDel="00000000" w:rsidP="00000000" w:rsidRDefault="00000000" w:rsidRPr="00000000" w14:paraId="00000015">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Узагальнюючи, можна стверджувати, що результати опитування демонструють доволі високий рівень політичної зацікавленості, базової обізнаності та громадської активності молоді. Респонденти </w:t>
      </w:r>
      <w:r w:rsidDel="00000000" w:rsidR="00000000" w:rsidRPr="00000000">
        <w:rPr>
          <w:rFonts w:ascii="Times New Roman" w:cs="Times New Roman" w:eastAsia="Times New Roman" w:hAnsi="Times New Roman"/>
          <w:b w:val="1"/>
          <w:bCs w:val="1"/>
          <w:sz w:val="24"/>
          <w:szCs w:val="24"/>
          <w:rtl w:val="0"/>
        </w:rPr>
        <w:t xml:space="preserve">добре розуміють функції парламенту, роль депутатів і загальну логіку парламентської діяльності.</w:t>
      </w:r>
      <w:r w:rsidDel="00000000" w:rsidR="00000000" w:rsidRPr="00000000">
        <w:rPr>
          <w:rFonts w:ascii="Times New Roman" w:cs="Times New Roman" w:eastAsia="Times New Roman" w:hAnsi="Times New Roman"/>
          <w:sz w:val="24"/>
          <w:szCs w:val="24"/>
          <w:rtl w:val="0"/>
        </w:rPr>
        <w:t xml:space="preserve"> Водночас менш зрозумілими залишаються складніші форми участі – громадські консультації, розробка рішень, робота з законодавчими пропозиціями та інституційна адвокація.</w:t>
      </w:r>
    </w:p>
    <w:p w:rsidR="00000000" w:rsidDel="00000000" w:rsidP="00000000" w:rsidRDefault="00000000" w:rsidRPr="00000000" w14:paraId="00000016">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чином, найбільш актуальними є практичне навчання: як користуватися інструментами участі, як працюють комітети, як готуються законопроєкти, як комунікувати з органами влади і як добиватися реального врахування пропозицій. Саме поєднання громадянської освіти, практичних форматів залучення та більшої відкритості парламентських процедур може посилити участь молоді й поступово підвищити довіру до парламенту як інституції.</w:t>
      </w:r>
    </w:p>
    <w:sectPr>
      <w:pgSz w:h="16834" w:w="11909" w:orient="portrait"/>
      <w:pgMar w:bottom="144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C7+j32tvq7iFMTFyLLNlqpYFPQ==">CgMxLjA4AHIhMXZoMWRHSnNuYmlwQW5vMURQWWNaUWlneVQ5Umk4MzJ6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