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-581024</wp:posOffset>
            </wp:positionH>
            <wp:positionV relativeFrom="paragraph">
              <wp:posOffset>114300</wp:posOffset>
            </wp:positionV>
            <wp:extent cx="6464162" cy="1728788"/>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64162" cy="1728788"/>
                    </a:xfrm>
                    <a:prstGeom prst="rect"/>
                    <a:ln/>
                  </pic:spPr>
                </pic:pic>
              </a:graphicData>
            </a:graphic>
          </wp:anchor>
        </w:drawing>
      </w:r>
    </w:p>
    <w:p w:rsidR="00000000" w:rsidDel="00000000" w:rsidP="00000000" w:rsidRDefault="00000000" w:rsidRPr="00000000" w14:paraId="00000002">
      <w:pPr>
        <w:spacing w:after="20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03">
      <w:pPr>
        <w:spacing w:after="20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04">
      <w:pPr>
        <w:spacing w:after="20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05">
      <w:pPr>
        <w:spacing w:after="200" w:lineRule="auto"/>
        <w:jc w:val="center"/>
        <w:rPr>
          <w:rFonts w:ascii="Times New Roman" w:cs="Times New Roman" w:eastAsia="Times New Roman" w:hAnsi="Times New Roman"/>
          <w:b w:val="1"/>
          <w:bCs w:val="1"/>
          <w:i w:val="1"/>
          <w:iCs w:val="1"/>
          <w:sz w:val="24"/>
          <w:szCs w:val="24"/>
        </w:rPr>
      </w:pPr>
      <w:r w:rsidDel="00000000" w:rsidR="00000000" w:rsidRPr="00000000">
        <w:rPr>
          <w:rtl w:val="0"/>
        </w:rPr>
      </w:r>
    </w:p>
    <w:p w:rsidR="00000000" w:rsidDel="00000000" w:rsidP="00000000" w:rsidRDefault="00000000" w:rsidRPr="00000000" w14:paraId="00000006">
      <w:pPr>
        <w:spacing w:after="20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7">
      <w:pPr>
        <w:spacing w:after="20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Молодіжний порядок денний Верховної Ради: Аналіз законодавчих ініціатив у сферах молодіжної політики, освіти, працевлаштування, волонтерства та громадянської участі молоді</w:t>
      </w:r>
    </w:p>
    <w:p w:rsidR="00000000" w:rsidDel="00000000" w:rsidP="00000000" w:rsidRDefault="00000000" w:rsidRPr="00000000" w14:paraId="00000008">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Молодіжна політика є міжсекторальною сферою, що охоплює освіту, працевлаштування, волонтерство, громадянську участь, соціальну адаптацію та розвиток людського капіталу. В умовах повномасштабної війни ці питання набули додаткової актуальності, оскільки молодь одночасно залучена до волонтерської діяльності, освітніх і трудових змін, внутрішньої мобільності та процесів відновлення. Саме тому важливо окреслити, як молодіжний порядок денний відображений у законодавчих ініціативах Верховної Ради України, а також визначити основні напрями, у яких парламентські рішення стосувалися потреб і можливостей молоді.</w:t>
      </w:r>
    </w:p>
    <w:p w:rsidR="00000000" w:rsidDel="00000000" w:rsidP="00000000" w:rsidRDefault="00000000" w:rsidRPr="00000000" w14:paraId="00000009">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 вибірки включено 11 найбільш релевантних законопроєктів і законів із офіційного порталу Верховної Ради, зареєстрованих або активних переважно у 2020-2025 роках.</w:t>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
        <w:gridCol w:w="1995"/>
        <w:gridCol w:w="1545"/>
        <w:gridCol w:w="1380"/>
        <w:gridCol w:w="1425"/>
        <w:gridCol w:w="1680"/>
        <w:tblGridChange w:id="0">
          <w:tblGrid>
            <w:gridCol w:w="975"/>
            <w:gridCol w:w="1995"/>
            <w:gridCol w:w="1545"/>
            <w:gridCol w:w="1380"/>
            <w:gridCol w:w="1425"/>
            <w:gridCol w:w="1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Номер</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Автор(и)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Дата реєстрації</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Статус</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Сфера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3718</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основні засади молодіжної політики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Санченко та 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23.06.2020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№1414-IX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Молодіжна політика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12298</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внесення змін до Закону України “Про основні засади молодіжної політики” щодо удосконалення механізмів фінансового забезпечення реалізації молодіжної політики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Санченко та 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09.12.2024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№4488-IX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Молодіжна політика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11159</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внесення змін до деяких законодавчих актів України щодо сприяння розвитку волонтерства серед здобувачів освіти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 Грищук та 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09.04.2024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№4186-IX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Волонтерство</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7363</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внесення змін до Закону України “Про волонтерську діяльність” щодо підтримки волонтерської діяльності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 Третьякова та 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10.05.2022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№2519-IX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Волонтерство</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10040</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внесення змін до Податкового кодексу України щодо підтримки волонтерської діяльності в умовах воєнного стану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Шуляк та 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13.09.2023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Опрацьовується в комітеті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Волонтерство</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3">
              <w:r w:rsidDel="00000000" w:rsidR="00000000" w:rsidRPr="00000000">
                <w:rPr>
                  <w:rFonts w:ascii="Times New Roman" w:cs="Times New Roman" w:eastAsia="Times New Roman" w:hAnsi="Times New Roman"/>
                  <w:color w:val="1155cc"/>
                  <w:sz w:val="24"/>
                  <w:szCs w:val="24"/>
                  <w:u w:val="single"/>
                  <w:rtl w:val="0"/>
                </w:rPr>
                <w:t xml:space="preserve">10279</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внесення змін до Закону України “Про вищу освіту” щодо розширення прав органів студентського самоврядування та забезпечення прав здобувачів вищої освіти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Ю. Гришина та 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22.11.2023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Готується на друге читання</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Громадська участь</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4">
              <w:r w:rsidDel="00000000" w:rsidR="00000000" w:rsidRPr="00000000">
                <w:rPr>
                  <w:rFonts w:ascii="Times New Roman" w:cs="Times New Roman" w:eastAsia="Times New Roman" w:hAnsi="Times New Roman"/>
                  <w:color w:val="1155cc"/>
                  <w:sz w:val="24"/>
                  <w:szCs w:val="24"/>
                  <w:u w:val="single"/>
                  <w:rtl w:val="0"/>
                </w:rPr>
                <w:t xml:space="preserve">13107-д</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професійну освіту</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 Коваль, С. Бабак та ін.</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11.04.2025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№4574-IX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5">
              <w:r w:rsidDel="00000000" w:rsidR="00000000" w:rsidRPr="00000000">
                <w:rPr>
                  <w:rFonts w:ascii="Times New Roman" w:cs="Times New Roman" w:eastAsia="Times New Roman" w:hAnsi="Times New Roman"/>
                  <w:color w:val="1155cc"/>
                  <w:sz w:val="24"/>
                  <w:szCs w:val="24"/>
                  <w:u w:val="single"/>
                  <w:rtl w:val="0"/>
                </w:rPr>
                <w:t xml:space="preserve">10218</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внесення змін до Закону України “Про наукову і науково-технічну діяльність” щодо питань дослідницької інфраструктури та підтримки молодих вчених</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 Шмигаль</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06.11.2023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№4794-IX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Освіта</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6">
              <w:r w:rsidDel="00000000" w:rsidR="00000000" w:rsidRPr="00000000">
                <w:rPr>
                  <w:rFonts w:ascii="Times New Roman" w:cs="Times New Roman" w:eastAsia="Times New Roman" w:hAnsi="Times New Roman"/>
                  <w:color w:val="1155cc"/>
                  <w:sz w:val="24"/>
                  <w:szCs w:val="24"/>
                  <w:u w:val="single"/>
                  <w:rtl w:val="0"/>
                </w:rPr>
                <w:t xml:space="preserve">6067</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внесення змін до деяких законодавчих актів України щодо реформування служби зайнятості, соціального страхування на випадок безробіття, сприяння продуктивній зайнятості населення, у тому числі молоді, та впровадження нових активних програм на ринку праці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 Шмигаль</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16.09.2021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№2622-IX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Працевлаштування</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7">
              <w:r w:rsidDel="00000000" w:rsidR="00000000" w:rsidRPr="00000000">
                <w:rPr>
                  <w:rFonts w:ascii="Times New Roman" w:cs="Times New Roman" w:eastAsia="Times New Roman" w:hAnsi="Times New Roman"/>
                  <w:color w:val="1155cc"/>
                  <w:sz w:val="24"/>
                  <w:szCs w:val="24"/>
                  <w:u w:val="single"/>
                  <w:rtl w:val="0"/>
                </w:rPr>
                <w:t xml:space="preserve">10164-1</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внесення змін до Кодексу законів про працю України щодо удосконалення правового регулювання окремих питань надомної та дистанційної роботи</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 Третьякова</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06.11.2023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№4339-IX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Працевлаштування</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color w:val="1155cc"/>
                  <w:sz w:val="24"/>
                  <w:szCs w:val="24"/>
                  <w:u w:val="single"/>
                  <w:rtl w:val="0"/>
                </w:rPr>
                <w:t xml:space="preserve">4254</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 Закону про публічні консультації</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 Шмигаль</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23.10.2020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Ухвалено як Закон №3841-IX</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Громадська участь</w:t>
            </w:r>
          </w:p>
        </w:tc>
      </w:tr>
    </w:tbl>
    <w:p w:rsidR="00000000" w:rsidDel="00000000" w:rsidP="00000000" w:rsidRDefault="00000000" w:rsidRPr="00000000" w14:paraId="00000052">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 період 2020-2025 рр. у молодіжній політиці ключовою зв’язкою є законопроєкти №3718 та №12298, які пізніше були ухвалені як Закони. Перший закон створив базову рамку сучасної молодіжної політики, але його слабким місцем тривалий час залишалася розмитість фінансових інструментів. Тож №12298 частково закриває саме цю прогалину, переводячи дискусію в площину ресурсів. Сильна сторона такого пакета – це поступове інституціоналізування молодіжної політики; але водночас є і слабка – залежність від подальших бюджетних рішень уряду та спроможності громад. На тлі того, що в Україні вже зафіксовано 613 молодіжних рад (станом на грудень 2024 року) і 643 молодіжні центри та простори (станом на жовтень 2025 року), проблема дедалі більше полягає у стабільності фінансування та якості роботи. </w:t>
      </w:r>
    </w:p>
    <w:p w:rsidR="00000000" w:rsidDel="00000000" w:rsidP="00000000" w:rsidRDefault="00000000" w:rsidRPr="00000000" w14:paraId="00000054">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Найоперативніше парламент реагував на запит молоді у волонтерській сфері. Законопроєкти №7363 і №11159 певною мірою відображають воєнну трансформацію молодіжної участі: волонтерство стає частиною соціальної стійкості та освітньої траєкторії. Сила цих законопроєктів полягає у зниженні бар’єрів до участі та суспільному визнанні волонтерського досвіду; недоліком є відсутність у цих нормах жорстких стандартів щодо зарахування волонтерської діяльності, страхування, обліку навантаження та подальших стимулів для роботодавців. Саме тому законопроєкт №10040, який досі опрацьовується в комітеті, є показовим в цьому питанні. </w:t>
      </w:r>
    </w:p>
    <w:p w:rsidR="00000000" w:rsidDel="00000000" w:rsidP="00000000" w:rsidRDefault="00000000" w:rsidRPr="00000000" w14:paraId="00000055">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 освіті та науці законопроєкт №13107-д оновлює професійну освіту і потенційно може зменшити розрив між підготовкою молоді та попитом економіки. Однак без інвестицій у матеріальну базу, регіональне планування мережі та участь роботодавців ефект буде нерівномірним. Законопроєкт №10218 адресує потреби молодих учених і може зменшити втрати людського капіталу, але його позитивний ефект найбільше відчують інституції, здатні конкурувати за ресурси.</w:t>
      </w:r>
    </w:p>
    <w:p w:rsidR="00000000" w:rsidDel="00000000" w:rsidP="00000000" w:rsidRDefault="00000000" w:rsidRPr="00000000" w14:paraId="00000056">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 сфері працевлаштування парламент також рухався переважно через загальні, а не спеціально молодіжні рішення. Законопроєкт №6067 дав ширшу рамку для активних програм ринку праці й реформування служби зайнятості, прямо включивши молодь у предмет регулювання; №10164-1 нормалізував більш гнучкі формати праці, що важливо для студентів, внутрішньо переміщених осіб і тих, хто входить на ринок праці в умовах війни. Сильною стороною однозначно є адаптація трудового законодавства до нових реалій, проте залишається ризик, що гнучкість підмінятиме якість, якщо не підсилювати нагляд та наставництво. За даними Державної служби зайнятості, у 2025 році профорієнтаційними послугами служби зайнятості скористалися понад 125,6 тис. молодих людей, а програмою компенсації працевлаштування – понад 4 тис. молодих безробітних. </w:t>
      </w:r>
    </w:p>
    <w:p w:rsidR="00000000" w:rsidDel="00000000" w:rsidP="00000000" w:rsidRDefault="00000000" w:rsidRPr="00000000" w14:paraId="00000057">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Участь молоді в ухваленні рішень поки що розвивається нерівномірно. Законопроєкт №10279 є однією з найбільш прямих спроб посилити суб’єктність молоді через студентське самоврядування. Законопроєкт №4254 про публічні консультації, своєю чергою, створює загальну інфраструктуру участі, але її реальна користь для молоді залежатиме від цифрової доступності, строків консультацій, обов’язковості зворотного зв’язку та здатності молодіжних організацій входити в ці процеси. </w:t>
      </w:r>
    </w:p>
    <w:p w:rsidR="00000000" w:rsidDel="00000000" w:rsidP="00000000" w:rsidRDefault="00000000" w:rsidRPr="00000000" w14:paraId="00000058">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чином, аналіз законодавчих ініціатив 2020-2025 років демонструє, що молодіжний порядок денний у роботі Верховної Ради України представлений не лише через спеціалізоване законодавство про молодіжну політику, а й через ширші рішення у сферах освіти, працевлаштування, волонтерства та громадянської участі. Це свідчить про міжсекторальний характер молодіжної проблематики, адже значна частина рішень, важливих для молоді, ухвалюється в межах різних політик і комітетських напрямів.</w:t>
      </w:r>
    </w:p>
    <w:p w:rsidR="00000000" w:rsidDel="00000000" w:rsidP="00000000" w:rsidRDefault="00000000" w:rsidRPr="00000000" w14:paraId="00000059">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Найбільш виразно молодіжний вимір простежується у питаннях волонтерства, професійної освіти, студентського самоврядування, підтримки молодих учених і входження молоді на ринок праці. Водночас частина цих рішень має рамковий або загальний характер, тому їхній практичний ефект значною мірою залежить від подальшої імплементації, бюджетного забезпечення, міжвідомчої координації та спроможності місцевого рівня.</w:t>
      </w:r>
    </w:p>
    <w:p w:rsidR="00000000" w:rsidDel="00000000" w:rsidP="00000000" w:rsidRDefault="00000000" w:rsidRPr="00000000" w14:paraId="0000005A">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Отже, молодіжний порядок денний у парламентській роботі поступово розширюється, однак залишається розподіленим між кількома сферами політики. Це не обов’язково є недоліком, але підкреслює потребу в узгодженому підході до оцінки того, як законодавчі рішення впливають на становище молоді, її участь, освітні можливості, зайнятість і соціальну стійкість.</w:t>
      </w:r>
    </w:p>
    <w:sectPr>
      <w:pgSz w:h="16834" w:w="11909" w:orient="portrait"/>
      <w:pgMar w:bottom="1440" w:top="992.1259842519685"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itd.rada.gov.ua/billinfo/Bills/Card/39572" TargetMode="External"/><Relationship Id="rId10" Type="http://schemas.openxmlformats.org/officeDocument/2006/relationships/hyperlink" Target="https://itd.rada.gov.ua/billinfo/Bills/Card/43945" TargetMode="External"/><Relationship Id="rId13" Type="http://schemas.openxmlformats.org/officeDocument/2006/relationships/hyperlink" Target="https://itd.rada.gov.ua/billinfo/Bills/Card/43231" TargetMode="External"/><Relationship Id="rId12" Type="http://schemas.openxmlformats.org/officeDocument/2006/relationships/hyperlink" Target="https://itd.rada.gov.ua/billinfo/Bills/Card/42758"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td.rada.gov.ua/billinfo/Bills/Card/45372" TargetMode="External"/><Relationship Id="rId15" Type="http://schemas.openxmlformats.org/officeDocument/2006/relationships/hyperlink" Target="https://itd.rada.gov.ua/billinfo/Bills/Card/43122" TargetMode="External"/><Relationship Id="rId14" Type="http://schemas.openxmlformats.org/officeDocument/2006/relationships/hyperlink" Target="https://itd.rada.gov.ua/billinfo/Bills/Card/56179" TargetMode="External"/><Relationship Id="rId17" Type="http://schemas.openxmlformats.org/officeDocument/2006/relationships/hyperlink" Target="https://itd.rada.gov.ua/billinfo/Bills/Card/43116" TargetMode="External"/><Relationship Id="rId16" Type="http://schemas.openxmlformats.org/officeDocument/2006/relationships/hyperlink" Target="https://itd.rada.gov.ua/billinfo/Bills/Card/27750" TargetMode="Externa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hyperlink" Target="https://itd.rada.gov.ua/billinfo/Bills/Card/4415" TargetMode="External"/><Relationship Id="rId7" Type="http://schemas.openxmlformats.org/officeDocument/2006/relationships/image" Target="media/image1.png"/><Relationship Id="rId8" Type="http://schemas.openxmlformats.org/officeDocument/2006/relationships/hyperlink" Target="https://itd.rada.gov.ua/billinfo/Bills/Card/29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ptFXcDSrYSe+V3gQRQ41UgjAQg==">CgMxLjA4AHIhMXoxNE1YemZPRHZHVjNkeGV2QWJGSXc0LXBvZWpaR0c5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